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7A904A" w14:textId="77777777" w:rsidR="00595901" w:rsidRDefault="002A7AA5">
      <w:pPr>
        <w:pStyle w:val="BodyText"/>
        <w:ind w:left="120"/>
        <w:rPr>
          <w:rFonts w:ascii="Times New Roman"/>
          <w:sz w:val="20"/>
        </w:rPr>
      </w:pPr>
      <w:r>
        <w:rPr>
          <w:rFonts w:ascii="Times New Roman"/>
          <w:noProof/>
          <w:sz w:val="20"/>
        </w:rPr>
        <w:drawing>
          <wp:inline distT="0" distB="0" distL="0" distR="0" wp14:anchorId="41EBB43F" wp14:editId="0A6EA8A9">
            <wp:extent cx="4503741" cy="688085"/>
            <wp:effectExtent l="0" t="0" r="0" b="0"/>
            <wp:docPr id="1" name="image1.png" descr="A picture containing drawing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4503741" cy="688085"/>
                    </a:xfrm>
                    <a:prstGeom prst="rect">
                      <a:avLst/>
                    </a:prstGeom>
                  </pic:spPr>
                </pic:pic>
              </a:graphicData>
            </a:graphic>
          </wp:inline>
        </w:drawing>
      </w:r>
    </w:p>
    <w:p w14:paraId="5CFE24D9" w14:textId="77777777" w:rsidR="00595901" w:rsidRDefault="00595901">
      <w:pPr>
        <w:pStyle w:val="BodyText"/>
        <w:rPr>
          <w:rFonts w:ascii="Times New Roman"/>
          <w:sz w:val="20"/>
        </w:rPr>
      </w:pPr>
    </w:p>
    <w:p w14:paraId="1CD87AFE" w14:textId="77777777" w:rsidR="00595901" w:rsidRDefault="00595901">
      <w:pPr>
        <w:pStyle w:val="BodyText"/>
        <w:rPr>
          <w:rFonts w:ascii="Times New Roman"/>
          <w:sz w:val="20"/>
        </w:rPr>
      </w:pPr>
    </w:p>
    <w:p w14:paraId="37F313CD" w14:textId="77777777" w:rsidR="00595901" w:rsidRDefault="00595901">
      <w:pPr>
        <w:pStyle w:val="BodyText"/>
        <w:rPr>
          <w:rFonts w:ascii="Times New Roman"/>
          <w:sz w:val="20"/>
        </w:rPr>
      </w:pPr>
    </w:p>
    <w:p w14:paraId="034B7BCA" w14:textId="77777777" w:rsidR="00595901" w:rsidRDefault="00595901">
      <w:pPr>
        <w:pStyle w:val="BodyText"/>
        <w:spacing w:before="8"/>
        <w:rPr>
          <w:rFonts w:ascii="Times New Roman"/>
          <w:sz w:val="23"/>
        </w:rPr>
      </w:pPr>
    </w:p>
    <w:p w14:paraId="01D89F79" w14:textId="77777777" w:rsidR="00595901" w:rsidRDefault="002A7AA5">
      <w:pPr>
        <w:spacing w:before="101"/>
        <w:ind w:left="105"/>
        <w:rPr>
          <w:rFonts w:ascii="Verdana"/>
          <w:b/>
        </w:rPr>
      </w:pPr>
      <w:bookmarkStart w:id="0" w:name="Development_Manager_(Trusts_&amp;_Foundation"/>
      <w:bookmarkEnd w:id="0"/>
      <w:r>
        <w:rPr>
          <w:rFonts w:ascii="Verdana"/>
          <w:b/>
        </w:rPr>
        <w:t>Development Manager (Trusts &amp; Foundations)</w:t>
      </w:r>
    </w:p>
    <w:p w14:paraId="6E6A8314" w14:textId="77777777" w:rsidR="00595901" w:rsidRDefault="00595901">
      <w:pPr>
        <w:pStyle w:val="BodyText"/>
        <w:spacing w:before="2"/>
        <w:rPr>
          <w:rFonts w:ascii="Verdana"/>
          <w:b/>
        </w:rPr>
      </w:pPr>
    </w:p>
    <w:p w14:paraId="073387DB" w14:textId="77777777" w:rsidR="00595901" w:rsidRDefault="002A7AA5">
      <w:pPr>
        <w:pStyle w:val="BodyText"/>
        <w:ind w:left="120"/>
      </w:pPr>
      <w:r>
        <w:rPr>
          <w:b/>
        </w:rPr>
        <w:t xml:space="preserve">Title: </w:t>
      </w:r>
      <w:r>
        <w:t>Development Manager (Trusts &amp; Foundations)</w:t>
      </w:r>
    </w:p>
    <w:p w14:paraId="5EEF96A0" w14:textId="77777777" w:rsidR="00595901" w:rsidRDefault="002A7AA5">
      <w:pPr>
        <w:spacing w:before="185"/>
        <w:ind w:left="120"/>
        <w:rPr>
          <w:sz w:val="24"/>
        </w:rPr>
      </w:pPr>
      <w:r>
        <w:rPr>
          <w:b/>
          <w:sz w:val="24"/>
        </w:rPr>
        <w:t xml:space="preserve">Responsible to: </w:t>
      </w:r>
      <w:r>
        <w:rPr>
          <w:sz w:val="24"/>
        </w:rPr>
        <w:t>Director of Development</w:t>
      </w:r>
    </w:p>
    <w:p w14:paraId="28726F90" w14:textId="650C18D7" w:rsidR="00595901" w:rsidRDefault="002A7AA5">
      <w:pPr>
        <w:spacing w:before="182"/>
        <w:ind w:left="120"/>
        <w:rPr>
          <w:sz w:val="24"/>
        </w:rPr>
      </w:pPr>
      <w:r>
        <w:rPr>
          <w:b/>
          <w:sz w:val="24"/>
        </w:rPr>
        <w:t>Salary:</w:t>
      </w:r>
      <w:r w:rsidR="00DA0114">
        <w:rPr>
          <w:b/>
          <w:sz w:val="24"/>
        </w:rPr>
        <w:t xml:space="preserve"> </w:t>
      </w:r>
      <w:r w:rsidR="00DA0114" w:rsidRPr="00DA0114">
        <w:rPr>
          <w:bCs/>
          <w:sz w:val="24"/>
        </w:rPr>
        <w:t>Circa £36k</w:t>
      </w:r>
    </w:p>
    <w:p w14:paraId="492EAF51" w14:textId="074C41A6" w:rsidR="00595901" w:rsidRDefault="002A7AA5">
      <w:pPr>
        <w:pStyle w:val="BodyText"/>
        <w:spacing w:before="185" w:line="259" w:lineRule="auto"/>
        <w:ind w:left="120" w:right="157"/>
      </w:pPr>
      <w:r>
        <w:rPr>
          <w:b/>
        </w:rPr>
        <w:t xml:space="preserve">Location: </w:t>
      </w:r>
      <w:r>
        <w:t xml:space="preserve">Home-based with </w:t>
      </w:r>
      <w:r w:rsidR="00DA0114">
        <w:t xml:space="preserve">intermittent </w:t>
      </w:r>
      <w:r>
        <w:t xml:space="preserve">travel to our offices in Edinburgh and to external meetings with funders. We provide a nationwide service and, as such, welcome applications from across </w:t>
      </w:r>
      <w:r w:rsidR="00DA0114">
        <w:t>the UK</w:t>
      </w:r>
      <w:r>
        <w:t>.</w:t>
      </w:r>
    </w:p>
    <w:p w14:paraId="1F08A59F" w14:textId="77777777" w:rsidR="00595901" w:rsidRDefault="002A7AA5">
      <w:pPr>
        <w:spacing w:before="159"/>
        <w:ind w:left="119"/>
        <w:rPr>
          <w:sz w:val="24"/>
        </w:rPr>
      </w:pPr>
      <w:r>
        <w:rPr>
          <w:b/>
          <w:sz w:val="24"/>
        </w:rPr>
        <w:t xml:space="preserve">Status: </w:t>
      </w:r>
      <w:r>
        <w:rPr>
          <w:sz w:val="24"/>
        </w:rPr>
        <w:t>Full time; permanent</w:t>
      </w:r>
    </w:p>
    <w:p w14:paraId="29C68D85" w14:textId="77777777" w:rsidR="00595901" w:rsidRDefault="002A7AA5">
      <w:pPr>
        <w:pStyle w:val="Heading1"/>
        <w:spacing w:before="183"/>
        <w:rPr>
          <w:b w:val="0"/>
        </w:rPr>
      </w:pPr>
      <w:r>
        <w:t xml:space="preserve">Supervisory responsibilities: </w:t>
      </w:r>
      <w:r>
        <w:rPr>
          <w:b w:val="0"/>
        </w:rPr>
        <w:t>None</w:t>
      </w:r>
    </w:p>
    <w:p w14:paraId="412FE91B" w14:textId="77777777" w:rsidR="00595901" w:rsidRDefault="00595901">
      <w:pPr>
        <w:pStyle w:val="BodyText"/>
      </w:pPr>
    </w:p>
    <w:p w14:paraId="660E76B7" w14:textId="77777777" w:rsidR="00595901" w:rsidRDefault="00595901">
      <w:pPr>
        <w:pStyle w:val="BodyText"/>
      </w:pPr>
    </w:p>
    <w:p w14:paraId="53ED3660" w14:textId="77777777" w:rsidR="00595901" w:rsidRDefault="00595901">
      <w:pPr>
        <w:pStyle w:val="BodyText"/>
        <w:spacing w:before="2"/>
        <w:rPr>
          <w:sz w:val="32"/>
        </w:rPr>
      </w:pPr>
    </w:p>
    <w:p w14:paraId="4E4BF04B" w14:textId="77777777" w:rsidR="00595901" w:rsidRDefault="002A7AA5">
      <w:pPr>
        <w:ind w:left="1807" w:right="1808"/>
        <w:jc w:val="center"/>
        <w:rPr>
          <w:b/>
          <w:sz w:val="24"/>
        </w:rPr>
      </w:pPr>
      <w:r>
        <w:rPr>
          <w:b/>
          <w:sz w:val="24"/>
        </w:rPr>
        <w:t>SU</w:t>
      </w:r>
      <w:r>
        <w:rPr>
          <w:b/>
          <w:sz w:val="24"/>
        </w:rPr>
        <w:t>PPORT, INFORM, EMPOWER</w:t>
      </w:r>
    </w:p>
    <w:p w14:paraId="524E4AE8" w14:textId="77777777" w:rsidR="00595901" w:rsidRDefault="002A7AA5">
      <w:pPr>
        <w:pStyle w:val="BodyText"/>
        <w:ind w:left="1810" w:right="1808"/>
        <w:jc w:val="center"/>
      </w:pPr>
      <w:r>
        <w:t>Three key words that sum up Salvesen Mindroom Centre.</w:t>
      </w:r>
    </w:p>
    <w:p w14:paraId="209C8212" w14:textId="77777777" w:rsidR="00595901" w:rsidRDefault="00595901">
      <w:pPr>
        <w:pStyle w:val="BodyText"/>
        <w:spacing w:before="12"/>
        <w:rPr>
          <w:sz w:val="23"/>
        </w:rPr>
      </w:pPr>
    </w:p>
    <w:p w14:paraId="2F36B393" w14:textId="77777777" w:rsidR="00595901" w:rsidRDefault="002A7AA5">
      <w:pPr>
        <w:pStyle w:val="BodyText"/>
        <w:spacing w:line="259" w:lineRule="auto"/>
        <w:ind w:left="119" w:right="158"/>
      </w:pPr>
      <w:r>
        <w:t xml:space="preserve">Our Vision is to be the leading charity on neurodiversity in Scotland, with a strong reputation within the UK and international recognition for our expertise and research. </w:t>
      </w:r>
      <w:r>
        <w:rPr>
          <w:spacing w:val="-3"/>
        </w:rPr>
        <w:t xml:space="preserve">We </w:t>
      </w:r>
      <w:r>
        <w:t>aim to help create a world in which no mind is left behind. We have a close partn</w:t>
      </w:r>
      <w:r>
        <w:t>ership with a team of researchers in the Salvesen Mindroom Research Centre at the University of Edinburgh: ensuring that research translates into practical resources is at the heart of our mission.</w:t>
      </w:r>
    </w:p>
    <w:p w14:paraId="6093C95F" w14:textId="77777777" w:rsidR="00595901" w:rsidRDefault="00595901">
      <w:pPr>
        <w:pStyle w:val="BodyText"/>
        <w:spacing w:before="12"/>
        <w:rPr>
          <w:sz w:val="23"/>
        </w:rPr>
      </w:pPr>
    </w:p>
    <w:p w14:paraId="20A1197B" w14:textId="03F9F4CF" w:rsidR="00595901" w:rsidRDefault="002A7AA5">
      <w:pPr>
        <w:pStyle w:val="BodyText"/>
        <w:spacing w:line="259" w:lineRule="auto"/>
        <w:ind w:left="119" w:right="359"/>
      </w:pPr>
      <w:r>
        <w:t>We are looking for a highly experienced Fundraiser with a</w:t>
      </w:r>
      <w:r>
        <w:t xml:space="preserve"> minimum of three years’ experience of managing grant applications to Charitable Trusts and Foundations and demonstrable success in developing high quality, compelling Fundraising </w:t>
      </w:r>
      <w:r w:rsidR="003134BA">
        <w:t>propositions,</w:t>
      </w:r>
      <w:r>
        <w:t xml:space="preserve"> and securing income from a robust pipeline of funders.</w:t>
      </w:r>
    </w:p>
    <w:p w14:paraId="5F5B4099" w14:textId="77777777" w:rsidR="00595901" w:rsidRDefault="00595901">
      <w:pPr>
        <w:pStyle w:val="BodyText"/>
        <w:spacing w:before="8"/>
        <w:rPr>
          <w:sz w:val="25"/>
        </w:rPr>
      </w:pPr>
    </w:p>
    <w:p w14:paraId="4ACA2145" w14:textId="77777777" w:rsidR="00595901" w:rsidRDefault="002A7AA5">
      <w:pPr>
        <w:pStyle w:val="BodyText"/>
        <w:spacing w:line="259" w:lineRule="auto"/>
        <w:ind w:left="119" w:right="128"/>
      </w:pPr>
      <w:r>
        <w:t>This is</w:t>
      </w:r>
      <w:r>
        <w:t xml:space="preserve"> a key role for the organisation, supporting the development and delivery of SMC’s fundraising strategy and its ambitious objectives. The Development Team is small in size – currently the Director, a </w:t>
      </w:r>
      <w:r w:rsidRPr="00DA0114">
        <w:t>Philanthropy and Partnerships Manager</w:t>
      </w:r>
      <w:r>
        <w:rPr>
          <w:rFonts w:ascii="Verdana" w:hAnsi="Verdana"/>
          <w:sz w:val="22"/>
        </w:rPr>
        <w:t xml:space="preserve"> </w:t>
      </w:r>
      <w:r>
        <w:t>and the post holde</w:t>
      </w:r>
      <w:r>
        <w:t>r of this role. However, we are a team with big ambitions and a strategic plan that will transform our philanthropic and business development income streams over the next five years.</w:t>
      </w:r>
    </w:p>
    <w:p w14:paraId="476B3F4A" w14:textId="4A86076B" w:rsidR="00595901" w:rsidRDefault="002A7AA5">
      <w:pPr>
        <w:pStyle w:val="BodyText"/>
        <w:spacing w:line="259" w:lineRule="auto"/>
        <w:ind w:left="120" w:right="573"/>
      </w:pPr>
      <w:r>
        <w:t>Therefore, we require individuals of the highest calibre who can be innov</w:t>
      </w:r>
      <w:r>
        <w:t xml:space="preserve">ative, creative, </w:t>
      </w:r>
      <w:r w:rsidR="003134BA">
        <w:t>proactive,</w:t>
      </w:r>
      <w:r>
        <w:t xml:space="preserve"> and flexible, with the ability to turn your skills to unexpected challenges.</w:t>
      </w:r>
    </w:p>
    <w:p w14:paraId="7867D0F2" w14:textId="77777777" w:rsidR="00595901" w:rsidRDefault="00595901">
      <w:pPr>
        <w:spacing w:line="259" w:lineRule="auto"/>
        <w:sectPr w:rsidR="00595901">
          <w:type w:val="continuous"/>
          <w:pgSz w:w="11910" w:h="16840"/>
          <w:pgMar w:top="1420" w:right="1320" w:bottom="280" w:left="1320" w:header="720" w:footer="720" w:gutter="0"/>
          <w:cols w:space="720"/>
        </w:sectPr>
      </w:pPr>
    </w:p>
    <w:p w14:paraId="41C7D6AA" w14:textId="421B58B4" w:rsidR="00595901" w:rsidRDefault="002A7AA5">
      <w:pPr>
        <w:pStyle w:val="BodyText"/>
        <w:spacing w:before="134"/>
        <w:ind w:left="120" w:right="176"/>
      </w:pPr>
      <w:r>
        <w:lastRenderedPageBreak/>
        <w:t>Within the organisation, everyone is expected to support each other in a positive way, through a commitment to supportive team working.</w:t>
      </w:r>
      <w:r>
        <w:t xml:space="preserve"> All staff and volunteers help shape the charity’s policy and practice and our team is encouraged to use their creativity and personal skills to help us to develop and grow. We have an active Board of Trustees to assist our work.</w:t>
      </w:r>
    </w:p>
    <w:p w14:paraId="2A831040" w14:textId="77777777" w:rsidR="00595901" w:rsidRDefault="00595901">
      <w:pPr>
        <w:pStyle w:val="BodyText"/>
        <w:spacing w:before="11"/>
        <w:rPr>
          <w:sz w:val="23"/>
        </w:rPr>
      </w:pPr>
    </w:p>
    <w:p w14:paraId="01132E96" w14:textId="6E424928" w:rsidR="00595901" w:rsidRDefault="002A7AA5">
      <w:pPr>
        <w:pStyle w:val="BodyText"/>
        <w:ind w:left="120" w:right="107"/>
      </w:pPr>
      <w:r>
        <w:t xml:space="preserve">The salary is </w:t>
      </w:r>
      <w:r w:rsidR="00DA0114">
        <w:t xml:space="preserve">circa £36k </w:t>
      </w:r>
      <w:r>
        <w:t>depending on skills and experience. We offer 27 days annual leave, plus 8 days public holiday. The charity operates a contributory pension scheme to which the employer contribution is currently 5%. There is a mileage allowance for own c</w:t>
      </w:r>
      <w:r>
        <w:t xml:space="preserve">ar use. We have a confidential conversations service in place for all staff, currently provided by </w:t>
      </w:r>
      <w:r w:rsidR="003134BA">
        <w:t>CrossReach</w:t>
      </w:r>
      <w:r>
        <w:t>. We offer flexible working, and TOIL is available when required.</w:t>
      </w:r>
    </w:p>
    <w:p w14:paraId="57EEE0F8" w14:textId="77777777" w:rsidR="00595901" w:rsidRDefault="00595901">
      <w:pPr>
        <w:pStyle w:val="BodyText"/>
        <w:spacing w:before="9"/>
        <w:rPr>
          <w:sz w:val="22"/>
        </w:rPr>
      </w:pPr>
    </w:p>
    <w:p w14:paraId="023977F2" w14:textId="77777777" w:rsidR="00595901" w:rsidRDefault="002A7AA5">
      <w:pPr>
        <w:pStyle w:val="BodyText"/>
        <w:ind w:left="120" w:right="148"/>
      </w:pPr>
      <w:r>
        <w:t>PVG registration is required for this role and the successful applicant will be expected to comply with Salvesen Mindroom Centre’s policies and practice, including confidentiality and data protection.</w:t>
      </w:r>
    </w:p>
    <w:p w14:paraId="4B9314A9" w14:textId="77777777" w:rsidR="00595901" w:rsidRDefault="00595901">
      <w:pPr>
        <w:pStyle w:val="BodyText"/>
        <w:spacing w:before="11"/>
        <w:rPr>
          <w:sz w:val="23"/>
        </w:rPr>
      </w:pPr>
    </w:p>
    <w:p w14:paraId="648C792D" w14:textId="77777777" w:rsidR="00595901" w:rsidRDefault="002A7AA5">
      <w:pPr>
        <w:pStyle w:val="Heading1"/>
      </w:pPr>
      <w:r>
        <w:t>Job Purpose:</w:t>
      </w:r>
    </w:p>
    <w:p w14:paraId="7C118EC2" w14:textId="77777777" w:rsidR="00595901" w:rsidRDefault="00595901">
      <w:pPr>
        <w:pStyle w:val="BodyText"/>
        <w:rPr>
          <w:b/>
        </w:rPr>
      </w:pPr>
    </w:p>
    <w:p w14:paraId="489E9965" w14:textId="77777777" w:rsidR="00595901" w:rsidRDefault="002A7AA5">
      <w:pPr>
        <w:pStyle w:val="BodyText"/>
        <w:ind w:left="120" w:right="454"/>
      </w:pPr>
      <w:r>
        <w:t>To support the development and delivery of SMC’s fundraising strategy and its ambitious objectives.</w:t>
      </w:r>
    </w:p>
    <w:p w14:paraId="076F8758" w14:textId="77777777" w:rsidR="00595901" w:rsidRDefault="002A7AA5">
      <w:pPr>
        <w:pStyle w:val="BodyText"/>
        <w:spacing w:before="2"/>
        <w:ind w:left="120" w:right="477"/>
      </w:pPr>
      <w:r>
        <w:t>To work with the Director of Development and their team to generate significant income from the following sources:</w:t>
      </w:r>
    </w:p>
    <w:p w14:paraId="5CA7F1AA" w14:textId="77777777" w:rsidR="00595901" w:rsidRDefault="002A7AA5">
      <w:pPr>
        <w:pStyle w:val="ListParagraph"/>
        <w:numPr>
          <w:ilvl w:val="0"/>
          <w:numId w:val="1"/>
        </w:numPr>
        <w:tabs>
          <w:tab w:val="left" w:pos="839"/>
          <w:tab w:val="left" w:pos="840"/>
        </w:tabs>
        <w:ind w:right="724"/>
        <w:rPr>
          <w:sz w:val="24"/>
        </w:rPr>
      </w:pPr>
      <w:r>
        <w:rPr>
          <w:sz w:val="24"/>
        </w:rPr>
        <w:t>Grant applications to Charitable Trusts and Foundations (both UK and overseas where appropriate).</w:t>
      </w:r>
    </w:p>
    <w:p w14:paraId="31EEF787" w14:textId="0972E637" w:rsidR="00595901" w:rsidRDefault="002A7AA5">
      <w:pPr>
        <w:pStyle w:val="ListParagraph"/>
        <w:numPr>
          <w:ilvl w:val="0"/>
          <w:numId w:val="1"/>
        </w:numPr>
        <w:tabs>
          <w:tab w:val="left" w:pos="839"/>
          <w:tab w:val="left" w:pos="840"/>
        </w:tabs>
        <w:spacing w:line="293" w:lineRule="exact"/>
        <w:rPr>
          <w:sz w:val="24"/>
        </w:rPr>
      </w:pPr>
      <w:r>
        <w:rPr>
          <w:sz w:val="24"/>
        </w:rPr>
        <w:t>Lottery &amp; public sector funding</w:t>
      </w:r>
      <w:r>
        <w:rPr>
          <w:spacing w:val="-3"/>
          <w:sz w:val="24"/>
        </w:rPr>
        <w:t xml:space="preserve"> </w:t>
      </w:r>
      <w:r>
        <w:rPr>
          <w:sz w:val="24"/>
        </w:rPr>
        <w:t>application</w:t>
      </w:r>
      <w:r>
        <w:rPr>
          <w:sz w:val="24"/>
        </w:rPr>
        <w:t>s</w:t>
      </w:r>
      <w:r w:rsidR="00DA0114">
        <w:rPr>
          <w:sz w:val="24"/>
        </w:rPr>
        <w:t>.</w:t>
      </w:r>
    </w:p>
    <w:p w14:paraId="379AB7AE" w14:textId="4478388E" w:rsidR="00595901" w:rsidRDefault="002A7AA5">
      <w:pPr>
        <w:pStyle w:val="ListParagraph"/>
        <w:numPr>
          <w:ilvl w:val="0"/>
          <w:numId w:val="1"/>
        </w:numPr>
        <w:tabs>
          <w:tab w:val="left" w:pos="839"/>
          <w:tab w:val="left" w:pos="840"/>
        </w:tabs>
        <w:rPr>
          <w:sz w:val="24"/>
        </w:rPr>
      </w:pPr>
      <w:r>
        <w:rPr>
          <w:sz w:val="24"/>
        </w:rPr>
        <w:t>Corporate</w:t>
      </w:r>
      <w:r>
        <w:rPr>
          <w:spacing w:val="-2"/>
          <w:sz w:val="24"/>
        </w:rPr>
        <w:t xml:space="preserve"> </w:t>
      </w:r>
      <w:r>
        <w:rPr>
          <w:sz w:val="24"/>
        </w:rPr>
        <w:t>foundations</w:t>
      </w:r>
      <w:r w:rsidR="00DA0114">
        <w:rPr>
          <w:sz w:val="24"/>
        </w:rPr>
        <w:t>.</w:t>
      </w:r>
    </w:p>
    <w:p w14:paraId="45856C8C" w14:textId="77777777" w:rsidR="00595901" w:rsidRDefault="002A7AA5">
      <w:pPr>
        <w:pStyle w:val="BodyText"/>
        <w:ind w:left="120" w:right="601"/>
      </w:pPr>
      <w:r>
        <w:t>As the lead for most approaches to Trusts and Foundations, you will be responsible for significant grant applications (6 and 7 figure) but also approaches to smaller, local grant making bodies.</w:t>
      </w:r>
    </w:p>
    <w:p w14:paraId="2AA204A3" w14:textId="77777777" w:rsidR="00595901" w:rsidRDefault="00595901">
      <w:pPr>
        <w:pStyle w:val="BodyText"/>
        <w:spacing w:before="11"/>
        <w:rPr>
          <w:sz w:val="21"/>
        </w:rPr>
      </w:pPr>
    </w:p>
    <w:p w14:paraId="2498A986" w14:textId="77777777" w:rsidR="00595901" w:rsidRDefault="002A7AA5">
      <w:pPr>
        <w:pStyle w:val="BodyText"/>
        <w:spacing w:before="1"/>
        <w:ind w:left="120" w:right="222"/>
      </w:pPr>
      <w:r>
        <w:t>To work to a specific strategy and ob</w:t>
      </w:r>
      <w:r>
        <w:t>jectives, and you will contribute to the team’s operational planning. Financial goals will be set, and progress will be regularly assessed and supported.</w:t>
      </w:r>
    </w:p>
    <w:p w14:paraId="0FAC3806" w14:textId="77777777" w:rsidR="00595901" w:rsidRDefault="00595901">
      <w:pPr>
        <w:pStyle w:val="BodyText"/>
        <w:spacing w:before="11"/>
        <w:rPr>
          <w:sz w:val="23"/>
        </w:rPr>
      </w:pPr>
    </w:p>
    <w:p w14:paraId="5CEDF673" w14:textId="77777777" w:rsidR="00595901" w:rsidRDefault="002A7AA5">
      <w:pPr>
        <w:pStyle w:val="Heading1"/>
      </w:pPr>
      <w:r>
        <w:t>Main duties and responsibilities:</w:t>
      </w:r>
    </w:p>
    <w:p w14:paraId="3014836D" w14:textId="77777777" w:rsidR="00595901" w:rsidRDefault="00595901">
      <w:pPr>
        <w:pStyle w:val="BodyText"/>
        <w:spacing w:before="1"/>
        <w:rPr>
          <w:b/>
        </w:rPr>
      </w:pPr>
    </w:p>
    <w:p w14:paraId="1E02CAC9" w14:textId="77777777" w:rsidR="00595901" w:rsidRDefault="002A7AA5">
      <w:pPr>
        <w:pStyle w:val="ListParagraph"/>
        <w:numPr>
          <w:ilvl w:val="1"/>
          <w:numId w:val="1"/>
        </w:numPr>
        <w:tabs>
          <w:tab w:val="left" w:pos="1559"/>
          <w:tab w:val="left" w:pos="1560"/>
        </w:tabs>
        <w:spacing w:line="259" w:lineRule="auto"/>
        <w:ind w:right="269"/>
        <w:rPr>
          <w:sz w:val="24"/>
        </w:rPr>
      </w:pPr>
      <w:r>
        <w:rPr>
          <w:sz w:val="24"/>
        </w:rPr>
        <w:t>Work closely with the Director of Development to plan, co-ordinate</w:t>
      </w:r>
      <w:r>
        <w:rPr>
          <w:sz w:val="24"/>
        </w:rPr>
        <w:t xml:space="preserve"> and support the SMC’s approaches to trusts and foundations. This will include strategic overview of the trust portfolio, managing a pool of trusts, scheduling approaches, meeting with administrators and trustees, arranging visits to the project and writin</w:t>
      </w:r>
      <w:r>
        <w:rPr>
          <w:sz w:val="24"/>
        </w:rPr>
        <w:t>g effective</w:t>
      </w:r>
      <w:r>
        <w:rPr>
          <w:spacing w:val="-8"/>
          <w:sz w:val="24"/>
        </w:rPr>
        <w:t xml:space="preserve"> </w:t>
      </w:r>
      <w:r>
        <w:rPr>
          <w:sz w:val="24"/>
        </w:rPr>
        <w:t>proposals.</w:t>
      </w:r>
    </w:p>
    <w:p w14:paraId="6C2A40DB" w14:textId="77777777" w:rsidR="00595901" w:rsidRDefault="002A7AA5">
      <w:pPr>
        <w:pStyle w:val="ListParagraph"/>
        <w:numPr>
          <w:ilvl w:val="1"/>
          <w:numId w:val="1"/>
        </w:numPr>
        <w:tabs>
          <w:tab w:val="left" w:pos="1559"/>
          <w:tab w:val="left" w:pos="1560"/>
        </w:tabs>
        <w:spacing w:line="259" w:lineRule="auto"/>
        <w:ind w:right="352"/>
        <w:rPr>
          <w:sz w:val="24"/>
        </w:rPr>
      </w:pPr>
      <w:r>
        <w:rPr>
          <w:sz w:val="24"/>
        </w:rPr>
        <w:t>Ensure the most appropriate funding applications are submitted in order to secure an optimal level of support from each trust. Maintaining</w:t>
      </w:r>
      <w:r>
        <w:rPr>
          <w:spacing w:val="-19"/>
          <w:sz w:val="24"/>
        </w:rPr>
        <w:t xml:space="preserve"> </w:t>
      </w:r>
      <w:r>
        <w:rPr>
          <w:sz w:val="24"/>
        </w:rPr>
        <w:t>up-to-date</w:t>
      </w:r>
    </w:p>
    <w:p w14:paraId="2C070879" w14:textId="77777777" w:rsidR="00595901" w:rsidRDefault="00595901">
      <w:pPr>
        <w:spacing w:line="259" w:lineRule="auto"/>
        <w:rPr>
          <w:sz w:val="24"/>
        </w:rPr>
        <w:sectPr w:rsidR="00595901">
          <w:pgSz w:w="11910" w:h="16840"/>
          <w:pgMar w:top="1580" w:right="1320" w:bottom="280" w:left="1320" w:header="720" w:footer="720" w:gutter="0"/>
          <w:cols w:space="720"/>
        </w:sectPr>
      </w:pPr>
    </w:p>
    <w:p w14:paraId="24DCC7A0" w14:textId="46997313" w:rsidR="00595901" w:rsidRDefault="002A7AA5">
      <w:pPr>
        <w:pStyle w:val="BodyText"/>
        <w:spacing w:before="41" w:line="259" w:lineRule="auto"/>
        <w:ind w:left="1560" w:right="390"/>
      </w:pPr>
      <w:r>
        <w:lastRenderedPageBreak/>
        <w:t>and in-depth intelligence on major foundations funding priorities and preferences, involvin</w:t>
      </w:r>
      <w:r>
        <w:t>g desk research and face to face exploratory meetings with senior foundation representatives. Matching these with the most appropriate element of SMC's funding requirements.</w:t>
      </w:r>
    </w:p>
    <w:p w14:paraId="44E30B68" w14:textId="77777777" w:rsidR="00595901" w:rsidRDefault="002A7AA5">
      <w:pPr>
        <w:pStyle w:val="ListParagraph"/>
        <w:numPr>
          <w:ilvl w:val="1"/>
          <w:numId w:val="1"/>
        </w:numPr>
        <w:tabs>
          <w:tab w:val="left" w:pos="1559"/>
          <w:tab w:val="left" w:pos="1560"/>
        </w:tabs>
        <w:spacing w:before="1" w:line="256" w:lineRule="auto"/>
        <w:ind w:right="249"/>
        <w:rPr>
          <w:sz w:val="24"/>
        </w:rPr>
      </w:pPr>
      <w:r>
        <w:rPr>
          <w:sz w:val="24"/>
        </w:rPr>
        <w:t>To manage a schedule of grant reports and outcome assessments to funders and to en</w:t>
      </w:r>
      <w:r>
        <w:rPr>
          <w:sz w:val="24"/>
        </w:rPr>
        <w:t>sure compliance with grant funding</w:t>
      </w:r>
      <w:r>
        <w:rPr>
          <w:spacing w:val="-6"/>
          <w:sz w:val="24"/>
        </w:rPr>
        <w:t xml:space="preserve"> </w:t>
      </w:r>
      <w:r>
        <w:rPr>
          <w:sz w:val="24"/>
        </w:rPr>
        <w:t>criteria.</w:t>
      </w:r>
    </w:p>
    <w:p w14:paraId="55397D28" w14:textId="77777777" w:rsidR="00595901" w:rsidRDefault="002A7AA5">
      <w:pPr>
        <w:pStyle w:val="ListParagraph"/>
        <w:numPr>
          <w:ilvl w:val="1"/>
          <w:numId w:val="1"/>
        </w:numPr>
        <w:tabs>
          <w:tab w:val="left" w:pos="1559"/>
          <w:tab w:val="left" w:pos="1560"/>
        </w:tabs>
        <w:spacing w:before="5" w:line="259" w:lineRule="auto"/>
        <w:ind w:right="417"/>
        <w:rPr>
          <w:sz w:val="24"/>
        </w:rPr>
      </w:pPr>
      <w:r>
        <w:rPr>
          <w:sz w:val="24"/>
        </w:rPr>
        <w:t>To act as an information source within the Development Team on funding from the trusts and foundations sector, and as a central point for incoming queries from</w:t>
      </w:r>
      <w:r>
        <w:rPr>
          <w:spacing w:val="-3"/>
          <w:sz w:val="24"/>
        </w:rPr>
        <w:t xml:space="preserve"> </w:t>
      </w:r>
      <w:r>
        <w:rPr>
          <w:sz w:val="24"/>
        </w:rPr>
        <w:t>trusts.</w:t>
      </w:r>
    </w:p>
    <w:p w14:paraId="19834259" w14:textId="57C8B512" w:rsidR="00595901" w:rsidRDefault="002A7AA5">
      <w:pPr>
        <w:pStyle w:val="ListParagraph"/>
        <w:numPr>
          <w:ilvl w:val="1"/>
          <w:numId w:val="1"/>
        </w:numPr>
        <w:tabs>
          <w:tab w:val="left" w:pos="1559"/>
          <w:tab w:val="left" w:pos="1560"/>
        </w:tabs>
        <w:spacing w:line="259" w:lineRule="auto"/>
        <w:ind w:right="556"/>
        <w:rPr>
          <w:sz w:val="24"/>
        </w:rPr>
      </w:pPr>
      <w:r>
        <w:rPr>
          <w:sz w:val="24"/>
        </w:rPr>
        <w:t>To ensure that current and accurate Trust c</w:t>
      </w:r>
      <w:r>
        <w:rPr>
          <w:sz w:val="24"/>
        </w:rPr>
        <w:t xml:space="preserve">ontact details, income, application records, development strategy and activity for which the post holder is responsible is maintained in </w:t>
      </w:r>
      <w:r w:rsidR="00DA0114">
        <w:rPr>
          <w:sz w:val="24"/>
        </w:rPr>
        <w:t>Raiser’s Edge</w:t>
      </w:r>
      <w:r>
        <w:rPr>
          <w:sz w:val="24"/>
        </w:rPr>
        <w:t>.</w:t>
      </w:r>
    </w:p>
    <w:p w14:paraId="5B950980" w14:textId="77777777" w:rsidR="00595901" w:rsidRDefault="002A7AA5">
      <w:pPr>
        <w:pStyle w:val="ListParagraph"/>
        <w:numPr>
          <w:ilvl w:val="1"/>
          <w:numId w:val="1"/>
        </w:numPr>
        <w:tabs>
          <w:tab w:val="left" w:pos="1559"/>
          <w:tab w:val="left" w:pos="1560"/>
        </w:tabs>
        <w:rPr>
          <w:sz w:val="24"/>
        </w:rPr>
      </w:pPr>
      <w:r>
        <w:rPr>
          <w:sz w:val="24"/>
        </w:rPr>
        <w:t>To provide exceptional creative and tailored stewardship for all</w:t>
      </w:r>
      <w:r>
        <w:rPr>
          <w:spacing w:val="-11"/>
          <w:sz w:val="24"/>
        </w:rPr>
        <w:t xml:space="preserve"> </w:t>
      </w:r>
      <w:r>
        <w:rPr>
          <w:sz w:val="24"/>
        </w:rPr>
        <w:t>funders.</w:t>
      </w:r>
    </w:p>
    <w:p w14:paraId="7F9A640A" w14:textId="77777777" w:rsidR="00595901" w:rsidRDefault="002A7AA5">
      <w:pPr>
        <w:pStyle w:val="ListParagraph"/>
        <w:numPr>
          <w:ilvl w:val="1"/>
          <w:numId w:val="1"/>
        </w:numPr>
        <w:tabs>
          <w:tab w:val="left" w:pos="1559"/>
          <w:tab w:val="left" w:pos="1560"/>
        </w:tabs>
        <w:spacing w:before="22" w:line="256" w:lineRule="auto"/>
        <w:ind w:right="234"/>
        <w:rPr>
          <w:sz w:val="24"/>
        </w:rPr>
      </w:pPr>
      <w:r>
        <w:rPr>
          <w:sz w:val="24"/>
        </w:rPr>
        <w:t>Prepare and update c</w:t>
      </w:r>
      <w:r>
        <w:rPr>
          <w:sz w:val="24"/>
        </w:rPr>
        <w:t>ase statements and publications to support fundraising and to maximise visibility of</w:t>
      </w:r>
      <w:r>
        <w:rPr>
          <w:spacing w:val="-6"/>
          <w:sz w:val="24"/>
        </w:rPr>
        <w:t xml:space="preserve"> </w:t>
      </w:r>
      <w:r>
        <w:rPr>
          <w:sz w:val="24"/>
        </w:rPr>
        <w:t>SMC.</w:t>
      </w:r>
    </w:p>
    <w:p w14:paraId="60FCCD17" w14:textId="77777777" w:rsidR="00595901" w:rsidRDefault="002A7AA5">
      <w:pPr>
        <w:pStyle w:val="ListParagraph"/>
        <w:numPr>
          <w:ilvl w:val="1"/>
          <w:numId w:val="1"/>
        </w:numPr>
        <w:tabs>
          <w:tab w:val="left" w:pos="1559"/>
          <w:tab w:val="left" w:pos="1560"/>
        </w:tabs>
        <w:spacing w:before="5"/>
        <w:rPr>
          <w:sz w:val="24"/>
        </w:rPr>
      </w:pPr>
      <w:r>
        <w:rPr>
          <w:sz w:val="24"/>
        </w:rPr>
        <w:t>To produce outcome reports and other written material as</w:t>
      </w:r>
      <w:r>
        <w:rPr>
          <w:spacing w:val="-7"/>
          <w:sz w:val="24"/>
        </w:rPr>
        <w:t xml:space="preserve"> </w:t>
      </w:r>
      <w:r>
        <w:rPr>
          <w:sz w:val="24"/>
        </w:rPr>
        <w:t>needed.</w:t>
      </w:r>
    </w:p>
    <w:p w14:paraId="5D54D620" w14:textId="77777777" w:rsidR="00595901" w:rsidRDefault="002A7AA5">
      <w:pPr>
        <w:pStyle w:val="ListParagraph"/>
        <w:numPr>
          <w:ilvl w:val="1"/>
          <w:numId w:val="1"/>
        </w:numPr>
        <w:tabs>
          <w:tab w:val="left" w:pos="1559"/>
          <w:tab w:val="left" w:pos="1560"/>
        </w:tabs>
        <w:spacing w:before="24" w:line="256" w:lineRule="auto"/>
        <w:ind w:right="1026"/>
        <w:rPr>
          <w:sz w:val="24"/>
        </w:rPr>
      </w:pPr>
      <w:r>
        <w:rPr>
          <w:sz w:val="24"/>
        </w:rPr>
        <w:t>Keep abreast of professional and regulatory developments in charity legislation and fundraising.</w:t>
      </w:r>
    </w:p>
    <w:p w14:paraId="1AA7839C" w14:textId="77777777" w:rsidR="00595901" w:rsidRDefault="002A7AA5">
      <w:pPr>
        <w:pStyle w:val="ListParagraph"/>
        <w:numPr>
          <w:ilvl w:val="1"/>
          <w:numId w:val="1"/>
        </w:numPr>
        <w:tabs>
          <w:tab w:val="left" w:pos="1559"/>
          <w:tab w:val="left" w:pos="1560"/>
        </w:tabs>
        <w:spacing w:before="3" w:line="259" w:lineRule="auto"/>
        <w:ind w:right="1401"/>
        <w:rPr>
          <w:sz w:val="24"/>
        </w:rPr>
      </w:pPr>
      <w:r>
        <w:rPr>
          <w:sz w:val="24"/>
        </w:rPr>
        <w:t>Assist in the wider work of the organisation at the request of the Management</w:t>
      </w:r>
      <w:r>
        <w:rPr>
          <w:spacing w:val="1"/>
          <w:sz w:val="24"/>
        </w:rPr>
        <w:t xml:space="preserve"> </w:t>
      </w:r>
      <w:r>
        <w:rPr>
          <w:sz w:val="24"/>
        </w:rPr>
        <w:t>Team.</w:t>
      </w:r>
    </w:p>
    <w:p w14:paraId="2770C66C" w14:textId="77777777" w:rsidR="00595901" w:rsidRDefault="00595901">
      <w:pPr>
        <w:pStyle w:val="BodyText"/>
      </w:pPr>
    </w:p>
    <w:p w14:paraId="2C78F367" w14:textId="77777777" w:rsidR="00595901" w:rsidRDefault="002A7AA5">
      <w:pPr>
        <w:pStyle w:val="Heading1"/>
        <w:spacing w:before="159"/>
      </w:pPr>
      <w:r>
        <w:t>Person Specification:</w:t>
      </w:r>
    </w:p>
    <w:p w14:paraId="371E8BE9" w14:textId="77777777" w:rsidR="00595901" w:rsidRDefault="00595901">
      <w:pPr>
        <w:pStyle w:val="BodyText"/>
        <w:rPr>
          <w:b/>
        </w:r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4404"/>
        <w:gridCol w:w="1135"/>
        <w:gridCol w:w="1224"/>
      </w:tblGrid>
      <w:tr w:rsidR="00595901" w14:paraId="3E48D188" w14:textId="77777777">
        <w:trPr>
          <w:trHeight w:val="292"/>
        </w:trPr>
        <w:tc>
          <w:tcPr>
            <w:tcW w:w="2254" w:type="dxa"/>
          </w:tcPr>
          <w:p w14:paraId="29EA4D27" w14:textId="77777777" w:rsidR="00595901" w:rsidRDefault="00595901">
            <w:pPr>
              <w:pStyle w:val="TableParagraph"/>
              <w:ind w:left="0"/>
              <w:rPr>
                <w:rFonts w:ascii="Times New Roman"/>
                <w:sz w:val="20"/>
              </w:rPr>
            </w:pPr>
          </w:p>
        </w:tc>
        <w:tc>
          <w:tcPr>
            <w:tcW w:w="4404" w:type="dxa"/>
          </w:tcPr>
          <w:p w14:paraId="1C9E8D0A" w14:textId="77777777" w:rsidR="00595901" w:rsidRDefault="00595901">
            <w:pPr>
              <w:pStyle w:val="TableParagraph"/>
              <w:ind w:left="0"/>
              <w:rPr>
                <w:rFonts w:ascii="Times New Roman"/>
                <w:sz w:val="20"/>
              </w:rPr>
            </w:pPr>
          </w:p>
        </w:tc>
        <w:tc>
          <w:tcPr>
            <w:tcW w:w="1135" w:type="dxa"/>
          </w:tcPr>
          <w:p w14:paraId="09957122" w14:textId="77777777" w:rsidR="00595901" w:rsidRDefault="002A7AA5">
            <w:pPr>
              <w:pStyle w:val="TableParagraph"/>
              <w:spacing w:line="272" w:lineRule="exact"/>
              <w:rPr>
                <w:sz w:val="24"/>
              </w:rPr>
            </w:pPr>
            <w:r>
              <w:rPr>
                <w:sz w:val="24"/>
              </w:rPr>
              <w:t>Essential</w:t>
            </w:r>
          </w:p>
        </w:tc>
        <w:tc>
          <w:tcPr>
            <w:tcW w:w="1224" w:type="dxa"/>
          </w:tcPr>
          <w:p w14:paraId="4521D72E" w14:textId="77777777" w:rsidR="00595901" w:rsidRDefault="002A7AA5">
            <w:pPr>
              <w:pStyle w:val="TableParagraph"/>
              <w:spacing w:line="272" w:lineRule="exact"/>
              <w:rPr>
                <w:sz w:val="24"/>
              </w:rPr>
            </w:pPr>
            <w:r>
              <w:rPr>
                <w:sz w:val="24"/>
              </w:rPr>
              <w:t>Desirable</w:t>
            </w:r>
          </w:p>
        </w:tc>
      </w:tr>
      <w:tr w:rsidR="00595901" w14:paraId="09B20B07" w14:textId="77777777">
        <w:trPr>
          <w:trHeight w:val="4346"/>
        </w:trPr>
        <w:tc>
          <w:tcPr>
            <w:tcW w:w="2254" w:type="dxa"/>
          </w:tcPr>
          <w:p w14:paraId="508E0762" w14:textId="77777777" w:rsidR="00595901" w:rsidRDefault="002A7AA5">
            <w:pPr>
              <w:pStyle w:val="TableParagraph"/>
              <w:spacing w:line="292" w:lineRule="exact"/>
              <w:rPr>
                <w:sz w:val="24"/>
              </w:rPr>
            </w:pPr>
            <w:r>
              <w:rPr>
                <w:sz w:val="24"/>
              </w:rPr>
              <w:t>Experience</w:t>
            </w:r>
          </w:p>
        </w:tc>
        <w:tc>
          <w:tcPr>
            <w:tcW w:w="4404" w:type="dxa"/>
          </w:tcPr>
          <w:p w14:paraId="73BE0AD9" w14:textId="77777777" w:rsidR="00595901" w:rsidRDefault="002A7AA5">
            <w:pPr>
              <w:pStyle w:val="TableParagraph"/>
              <w:ind w:right="456"/>
              <w:rPr>
                <w:sz w:val="24"/>
              </w:rPr>
            </w:pPr>
            <w:r>
              <w:rPr>
                <w:sz w:val="24"/>
              </w:rPr>
              <w:t>Experience of fundraising at a manager level</w:t>
            </w:r>
          </w:p>
          <w:p w14:paraId="5CB31546" w14:textId="77777777" w:rsidR="00595901" w:rsidRDefault="002A7AA5">
            <w:pPr>
              <w:pStyle w:val="TableParagraph"/>
              <w:ind w:right="92"/>
              <w:rPr>
                <w:sz w:val="24"/>
              </w:rPr>
            </w:pPr>
            <w:r>
              <w:rPr>
                <w:sz w:val="24"/>
              </w:rPr>
              <w:t>Experience of successfully securing 5 and 6 figure grants</w:t>
            </w:r>
          </w:p>
          <w:p w14:paraId="5D4414BD" w14:textId="77777777" w:rsidR="00595901" w:rsidRDefault="002A7AA5">
            <w:pPr>
              <w:pStyle w:val="TableParagraph"/>
              <w:ind w:right="502"/>
              <w:rPr>
                <w:sz w:val="24"/>
              </w:rPr>
            </w:pPr>
            <w:r>
              <w:rPr>
                <w:sz w:val="24"/>
              </w:rPr>
              <w:t>Experience of working in the voluntary sector</w:t>
            </w:r>
          </w:p>
          <w:p w14:paraId="17DC8F99" w14:textId="77777777" w:rsidR="00595901" w:rsidRDefault="002A7AA5">
            <w:pPr>
              <w:pStyle w:val="TableParagraph"/>
              <w:ind w:right="405"/>
            </w:pPr>
            <w:r>
              <w:t>Experience of writing outcome and funding reports</w:t>
            </w:r>
          </w:p>
          <w:p w14:paraId="037D9A81" w14:textId="77777777" w:rsidR="00595901" w:rsidRDefault="002A7AA5">
            <w:pPr>
              <w:pStyle w:val="TableParagraph"/>
              <w:ind w:right="190"/>
              <w:rPr>
                <w:sz w:val="24"/>
              </w:rPr>
            </w:pPr>
            <w:r>
              <w:rPr>
                <w:sz w:val="24"/>
              </w:rPr>
              <w:t>A minimum of three years’ experience of managing grant applications to Charitable Trusts and Foundations</w:t>
            </w:r>
          </w:p>
          <w:p w14:paraId="049D0A01" w14:textId="54CDC749" w:rsidR="00595901" w:rsidRDefault="002A7AA5">
            <w:pPr>
              <w:pStyle w:val="TableParagraph"/>
              <w:ind w:right="258"/>
              <w:rPr>
                <w:sz w:val="24"/>
              </w:rPr>
            </w:pPr>
            <w:r>
              <w:rPr>
                <w:sz w:val="24"/>
              </w:rPr>
              <w:t xml:space="preserve">Demonstrable success in developing high quality, compelling Fundraising </w:t>
            </w:r>
            <w:r w:rsidR="003134BA">
              <w:rPr>
                <w:sz w:val="24"/>
              </w:rPr>
              <w:t>propositions,</w:t>
            </w:r>
            <w:r>
              <w:rPr>
                <w:sz w:val="24"/>
              </w:rPr>
              <w:t xml:space="preserve"> and securing income from a</w:t>
            </w:r>
          </w:p>
          <w:p w14:paraId="17957240" w14:textId="77777777" w:rsidR="00595901" w:rsidRDefault="002A7AA5">
            <w:pPr>
              <w:pStyle w:val="TableParagraph"/>
              <w:spacing w:line="273" w:lineRule="exact"/>
              <w:rPr>
                <w:sz w:val="24"/>
              </w:rPr>
            </w:pPr>
            <w:r>
              <w:rPr>
                <w:sz w:val="24"/>
              </w:rPr>
              <w:t>robust pipeline of funders</w:t>
            </w:r>
          </w:p>
        </w:tc>
        <w:tc>
          <w:tcPr>
            <w:tcW w:w="1135" w:type="dxa"/>
          </w:tcPr>
          <w:p w14:paraId="5B4CC954" w14:textId="77777777" w:rsidR="00595901" w:rsidRDefault="002A7AA5">
            <w:pPr>
              <w:pStyle w:val="TableParagraph"/>
              <w:spacing w:line="480" w:lineRule="auto"/>
              <w:ind w:right="891"/>
              <w:jc w:val="both"/>
              <w:rPr>
                <w:sz w:val="24"/>
              </w:rPr>
            </w:pPr>
            <w:r>
              <w:rPr>
                <w:sz w:val="24"/>
              </w:rPr>
              <w:t>X X X X X</w:t>
            </w:r>
          </w:p>
          <w:p w14:paraId="2BD491AE" w14:textId="77777777" w:rsidR="00595901" w:rsidRDefault="00595901">
            <w:pPr>
              <w:pStyle w:val="TableParagraph"/>
              <w:spacing w:before="12"/>
              <w:ind w:left="0"/>
              <w:rPr>
                <w:b/>
                <w:sz w:val="23"/>
              </w:rPr>
            </w:pPr>
          </w:p>
          <w:p w14:paraId="14E584D9" w14:textId="77777777" w:rsidR="00595901" w:rsidRDefault="002A7AA5">
            <w:pPr>
              <w:pStyle w:val="TableParagraph"/>
              <w:rPr>
                <w:sz w:val="24"/>
              </w:rPr>
            </w:pPr>
            <w:r>
              <w:rPr>
                <w:sz w:val="24"/>
              </w:rPr>
              <w:t>X</w:t>
            </w:r>
          </w:p>
        </w:tc>
        <w:tc>
          <w:tcPr>
            <w:tcW w:w="1224" w:type="dxa"/>
          </w:tcPr>
          <w:p w14:paraId="44263AFE" w14:textId="77777777" w:rsidR="00595901" w:rsidRDefault="00595901">
            <w:pPr>
              <w:pStyle w:val="TableParagraph"/>
              <w:ind w:left="0"/>
              <w:rPr>
                <w:rFonts w:ascii="Times New Roman"/>
              </w:rPr>
            </w:pPr>
          </w:p>
        </w:tc>
      </w:tr>
      <w:tr w:rsidR="00595901" w14:paraId="0C7BAA3D" w14:textId="77777777">
        <w:trPr>
          <w:trHeight w:val="877"/>
        </w:trPr>
        <w:tc>
          <w:tcPr>
            <w:tcW w:w="2254" w:type="dxa"/>
          </w:tcPr>
          <w:p w14:paraId="0E5DBC79" w14:textId="77777777" w:rsidR="00595901" w:rsidRDefault="002A7AA5">
            <w:pPr>
              <w:pStyle w:val="TableParagraph"/>
              <w:spacing w:line="292" w:lineRule="exact"/>
              <w:rPr>
                <w:sz w:val="24"/>
              </w:rPr>
            </w:pPr>
            <w:r>
              <w:rPr>
                <w:sz w:val="24"/>
              </w:rPr>
              <w:t>Knowledge</w:t>
            </w:r>
          </w:p>
        </w:tc>
        <w:tc>
          <w:tcPr>
            <w:tcW w:w="4404" w:type="dxa"/>
          </w:tcPr>
          <w:p w14:paraId="3D1438E3" w14:textId="1204CAD4" w:rsidR="00595901" w:rsidRDefault="002A7AA5">
            <w:pPr>
              <w:pStyle w:val="TableParagraph"/>
              <w:ind w:right="252"/>
              <w:rPr>
                <w:sz w:val="24"/>
              </w:rPr>
            </w:pPr>
            <w:r>
              <w:rPr>
                <w:sz w:val="24"/>
              </w:rPr>
              <w:t>Knowledge of contact relation databases and their use in fundraising management</w:t>
            </w:r>
            <w:r w:rsidR="001F2F64">
              <w:rPr>
                <w:sz w:val="24"/>
              </w:rPr>
              <w:t>. Experience of Raiser’s Edge would be an advantage</w:t>
            </w:r>
          </w:p>
        </w:tc>
        <w:tc>
          <w:tcPr>
            <w:tcW w:w="1135" w:type="dxa"/>
          </w:tcPr>
          <w:p w14:paraId="4BD72884" w14:textId="77777777" w:rsidR="00595901" w:rsidRDefault="002A7AA5">
            <w:pPr>
              <w:pStyle w:val="TableParagraph"/>
              <w:spacing w:line="292" w:lineRule="exact"/>
              <w:rPr>
                <w:sz w:val="24"/>
              </w:rPr>
            </w:pPr>
            <w:r>
              <w:rPr>
                <w:sz w:val="24"/>
              </w:rPr>
              <w:t>X</w:t>
            </w:r>
          </w:p>
        </w:tc>
        <w:tc>
          <w:tcPr>
            <w:tcW w:w="1224" w:type="dxa"/>
          </w:tcPr>
          <w:p w14:paraId="183A37CE" w14:textId="77777777" w:rsidR="00595901" w:rsidRDefault="00595901">
            <w:pPr>
              <w:pStyle w:val="TableParagraph"/>
              <w:ind w:left="0"/>
              <w:rPr>
                <w:rFonts w:ascii="Times New Roman"/>
              </w:rPr>
            </w:pPr>
          </w:p>
        </w:tc>
      </w:tr>
    </w:tbl>
    <w:p w14:paraId="7F3E95D0" w14:textId="77777777" w:rsidR="00595901" w:rsidRDefault="00595901">
      <w:pPr>
        <w:rPr>
          <w:rFonts w:ascii="Times New Roman"/>
        </w:rPr>
        <w:sectPr w:rsidR="00595901">
          <w:pgSz w:w="11910" w:h="16840"/>
          <w:pgMar w:top="1380" w:right="1320" w:bottom="280" w:left="1320" w:header="720" w:footer="720" w:gutter="0"/>
          <w:cols w:space="720"/>
        </w:sectPr>
      </w:pPr>
    </w:p>
    <w:tbl>
      <w:tblPr>
        <w:tblW w:w="0" w:type="auto"/>
        <w:tblInd w:w="1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54"/>
        <w:gridCol w:w="4404"/>
        <w:gridCol w:w="1135"/>
        <w:gridCol w:w="1224"/>
      </w:tblGrid>
      <w:tr w:rsidR="00595901" w14:paraId="2CF208A8" w14:textId="77777777">
        <w:trPr>
          <w:trHeight w:val="585"/>
        </w:trPr>
        <w:tc>
          <w:tcPr>
            <w:tcW w:w="2254" w:type="dxa"/>
          </w:tcPr>
          <w:p w14:paraId="1F063A7C" w14:textId="77777777" w:rsidR="00595901" w:rsidRDefault="00595901">
            <w:pPr>
              <w:pStyle w:val="TableParagraph"/>
              <w:ind w:left="0"/>
              <w:rPr>
                <w:rFonts w:ascii="Times New Roman"/>
                <w:sz w:val="24"/>
              </w:rPr>
            </w:pPr>
          </w:p>
        </w:tc>
        <w:tc>
          <w:tcPr>
            <w:tcW w:w="4404" w:type="dxa"/>
          </w:tcPr>
          <w:p w14:paraId="4CFE6C81" w14:textId="77777777" w:rsidR="00595901" w:rsidRDefault="002A7AA5">
            <w:pPr>
              <w:pStyle w:val="TableParagraph"/>
              <w:spacing w:line="292" w:lineRule="exact"/>
              <w:rPr>
                <w:sz w:val="24"/>
              </w:rPr>
            </w:pPr>
            <w:r>
              <w:rPr>
                <w:sz w:val="24"/>
              </w:rPr>
              <w:t>Knowledge of prospect research and</w:t>
            </w:r>
          </w:p>
          <w:p w14:paraId="57957950" w14:textId="77777777" w:rsidR="00595901" w:rsidRDefault="002A7AA5">
            <w:pPr>
              <w:pStyle w:val="TableParagraph"/>
              <w:spacing w:line="273" w:lineRule="exact"/>
              <w:rPr>
                <w:sz w:val="24"/>
              </w:rPr>
            </w:pPr>
            <w:r>
              <w:rPr>
                <w:sz w:val="24"/>
              </w:rPr>
              <w:t>management</w:t>
            </w:r>
          </w:p>
        </w:tc>
        <w:tc>
          <w:tcPr>
            <w:tcW w:w="1135" w:type="dxa"/>
          </w:tcPr>
          <w:p w14:paraId="1C5BD3D9" w14:textId="77777777" w:rsidR="00595901" w:rsidRDefault="002A7AA5">
            <w:pPr>
              <w:pStyle w:val="TableParagraph"/>
              <w:spacing w:line="292" w:lineRule="exact"/>
              <w:rPr>
                <w:sz w:val="24"/>
              </w:rPr>
            </w:pPr>
            <w:r>
              <w:rPr>
                <w:sz w:val="24"/>
              </w:rPr>
              <w:t>X</w:t>
            </w:r>
          </w:p>
        </w:tc>
        <w:tc>
          <w:tcPr>
            <w:tcW w:w="1224" w:type="dxa"/>
          </w:tcPr>
          <w:p w14:paraId="09DAE0E3" w14:textId="77777777" w:rsidR="00595901" w:rsidRDefault="00595901">
            <w:pPr>
              <w:pStyle w:val="TableParagraph"/>
              <w:ind w:left="0"/>
              <w:rPr>
                <w:rFonts w:ascii="Times New Roman"/>
                <w:sz w:val="24"/>
              </w:rPr>
            </w:pPr>
          </w:p>
        </w:tc>
      </w:tr>
      <w:tr w:rsidR="001F2F64" w14:paraId="1802E517" w14:textId="77777777">
        <w:trPr>
          <w:trHeight w:val="585"/>
        </w:trPr>
        <w:tc>
          <w:tcPr>
            <w:tcW w:w="2254" w:type="dxa"/>
          </w:tcPr>
          <w:p w14:paraId="3741C9E7" w14:textId="77777777" w:rsidR="001F2F64" w:rsidRDefault="001F2F64">
            <w:pPr>
              <w:pStyle w:val="TableParagraph"/>
              <w:ind w:left="0"/>
              <w:rPr>
                <w:rFonts w:ascii="Times New Roman"/>
                <w:sz w:val="24"/>
              </w:rPr>
            </w:pPr>
          </w:p>
        </w:tc>
        <w:tc>
          <w:tcPr>
            <w:tcW w:w="4404" w:type="dxa"/>
          </w:tcPr>
          <w:p w14:paraId="71EB8645" w14:textId="55C7DB37" w:rsidR="001F2F64" w:rsidRDefault="003134BA">
            <w:pPr>
              <w:pStyle w:val="TableParagraph"/>
              <w:spacing w:line="292" w:lineRule="exact"/>
              <w:rPr>
                <w:sz w:val="24"/>
              </w:rPr>
            </w:pPr>
            <w:r>
              <w:rPr>
                <w:sz w:val="24"/>
              </w:rPr>
              <w:t>Knowledge of Scottish and national trusts and foundations that support Scottish based charities.</w:t>
            </w:r>
          </w:p>
        </w:tc>
        <w:tc>
          <w:tcPr>
            <w:tcW w:w="1135" w:type="dxa"/>
          </w:tcPr>
          <w:p w14:paraId="738AFFB9" w14:textId="77777777" w:rsidR="001F2F64" w:rsidRDefault="001F2F64">
            <w:pPr>
              <w:pStyle w:val="TableParagraph"/>
              <w:spacing w:line="292" w:lineRule="exact"/>
              <w:rPr>
                <w:sz w:val="24"/>
              </w:rPr>
            </w:pPr>
          </w:p>
        </w:tc>
        <w:tc>
          <w:tcPr>
            <w:tcW w:w="1224" w:type="dxa"/>
          </w:tcPr>
          <w:p w14:paraId="36814362" w14:textId="77777777" w:rsidR="001F2F64" w:rsidRDefault="001F2F64">
            <w:pPr>
              <w:pStyle w:val="TableParagraph"/>
              <w:ind w:left="0"/>
              <w:rPr>
                <w:rFonts w:ascii="Times New Roman"/>
                <w:sz w:val="24"/>
              </w:rPr>
            </w:pPr>
          </w:p>
        </w:tc>
      </w:tr>
      <w:tr w:rsidR="00595901" w14:paraId="104CECA6" w14:textId="77777777">
        <w:trPr>
          <w:trHeight w:val="2051"/>
        </w:trPr>
        <w:tc>
          <w:tcPr>
            <w:tcW w:w="2254" w:type="dxa"/>
          </w:tcPr>
          <w:p w14:paraId="5C42E49B" w14:textId="77777777" w:rsidR="00595901" w:rsidRDefault="002A7AA5">
            <w:pPr>
              <w:pStyle w:val="TableParagraph"/>
              <w:spacing w:line="292" w:lineRule="exact"/>
              <w:rPr>
                <w:sz w:val="24"/>
              </w:rPr>
            </w:pPr>
            <w:r>
              <w:rPr>
                <w:sz w:val="24"/>
              </w:rPr>
              <w:t>Skills</w:t>
            </w:r>
          </w:p>
        </w:tc>
        <w:tc>
          <w:tcPr>
            <w:tcW w:w="4404" w:type="dxa"/>
          </w:tcPr>
          <w:p w14:paraId="0D48E468" w14:textId="77777777" w:rsidR="00595901" w:rsidRDefault="002A7AA5">
            <w:pPr>
              <w:pStyle w:val="TableParagraph"/>
              <w:ind w:right="232"/>
              <w:rPr>
                <w:sz w:val="24"/>
              </w:rPr>
            </w:pPr>
            <w:r>
              <w:rPr>
                <w:sz w:val="24"/>
              </w:rPr>
              <w:t>Ability to instigate and develop new partnerships, recognizing and maximizing opportunities and networks</w:t>
            </w:r>
          </w:p>
          <w:p w14:paraId="406F11F1" w14:textId="77777777" w:rsidR="00595901" w:rsidRDefault="002A7AA5">
            <w:pPr>
              <w:pStyle w:val="TableParagraph"/>
              <w:spacing w:before="1"/>
              <w:ind w:right="162"/>
              <w:rPr>
                <w:sz w:val="24"/>
              </w:rPr>
            </w:pPr>
            <w:r>
              <w:rPr>
                <w:sz w:val="24"/>
              </w:rPr>
              <w:t>Ability to be customer focused and demonstrate a proactive, positive ‘can do’ team environment</w:t>
            </w:r>
          </w:p>
          <w:p w14:paraId="0010322E" w14:textId="77777777" w:rsidR="00595901" w:rsidRDefault="002A7AA5">
            <w:pPr>
              <w:pStyle w:val="TableParagraph"/>
              <w:spacing w:line="273" w:lineRule="exact"/>
              <w:rPr>
                <w:sz w:val="24"/>
              </w:rPr>
            </w:pPr>
            <w:r>
              <w:rPr>
                <w:sz w:val="24"/>
              </w:rPr>
              <w:t>Ability to be flexible as required</w:t>
            </w:r>
          </w:p>
        </w:tc>
        <w:tc>
          <w:tcPr>
            <w:tcW w:w="1135" w:type="dxa"/>
          </w:tcPr>
          <w:p w14:paraId="0861CA35" w14:textId="77777777" w:rsidR="00595901" w:rsidRDefault="002A7AA5">
            <w:pPr>
              <w:pStyle w:val="TableParagraph"/>
              <w:spacing w:line="292" w:lineRule="exact"/>
              <w:rPr>
                <w:sz w:val="24"/>
              </w:rPr>
            </w:pPr>
            <w:r>
              <w:rPr>
                <w:sz w:val="24"/>
              </w:rPr>
              <w:t>X</w:t>
            </w:r>
          </w:p>
          <w:p w14:paraId="2A970F46" w14:textId="77777777" w:rsidR="00595901" w:rsidRDefault="002A7AA5">
            <w:pPr>
              <w:pStyle w:val="TableParagraph"/>
              <w:spacing w:before="1" w:line="880" w:lineRule="atLeast"/>
              <w:ind w:right="873"/>
              <w:rPr>
                <w:sz w:val="24"/>
              </w:rPr>
            </w:pPr>
            <w:r>
              <w:rPr>
                <w:sz w:val="24"/>
              </w:rPr>
              <w:t>X X</w:t>
            </w:r>
          </w:p>
        </w:tc>
        <w:tc>
          <w:tcPr>
            <w:tcW w:w="1224" w:type="dxa"/>
          </w:tcPr>
          <w:p w14:paraId="0031C486" w14:textId="77777777" w:rsidR="00595901" w:rsidRDefault="00595901">
            <w:pPr>
              <w:pStyle w:val="TableParagraph"/>
              <w:ind w:left="0"/>
              <w:rPr>
                <w:rFonts w:ascii="Times New Roman"/>
                <w:sz w:val="24"/>
              </w:rPr>
            </w:pPr>
          </w:p>
        </w:tc>
      </w:tr>
      <w:tr w:rsidR="00595901" w14:paraId="7F3A70A8" w14:textId="77777777">
        <w:trPr>
          <w:trHeight w:val="2049"/>
        </w:trPr>
        <w:tc>
          <w:tcPr>
            <w:tcW w:w="2254" w:type="dxa"/>
          </w:tcPr>
          <w:p w14:paraId="721F56F9" w14:textId="77777777" w:rsidR="00595901" w:rsidRDefault="002A7AA5">
            <w:pPr>
              <w:pStyle w:val="TableParagraph"/>
              <w:spacing w:line="291" w:lineRule="exact"/>
              <w:rPr>
                <w:sz w:val="24"/>
              </w:rPr>
            </w:pPr>
            <w:r>
              <w:rPr>
                <w:sz w:val="24"/>
              </w:rPr>
              <w:t>Personal Attributes</w:t>
            </w:r>
          </w:p>
        </w:tc>
        <w:tc>
          <w:tcPr>
            <w:tcW w:w="4404" w:type="dxa"/>
          </w:tcPr>
          <w:p w14:paraId="37587F48" w14:textId="77777777" w:rsidR="00595901" w:rsidRDefault="002A7AA5">
            <w:pPr>
              <w:pStyle w:val="TableParagraph"/>
              <w:ind w:right="180"/>
              <w:rPr>
                <w:sz w:val="24"/>
              </w:rPr>
            </w:pPr>
            <w:r>
              <w:rPr>
                <w:sz w:val="24"/>
              </w:rPr>
              <w:t>Ability to work under one’s own steam and be a senior, responsible and inspirational member of the development team</w:t>
            </w:r>
          </w:p>
          <w:p w14:paraId="5917BDB4" w14:textId="77777777" w:rsidR="00595901" w:rsidRDefault="002A7AA5">
            <w:pPr>
              <w:pStyle w:val="TableParagraph"/>
              <w:ind w:right="556"/>
              <w:rPr>
                <w:sz w:val="24"/>
              </w:rPr>
            </w:pPr>
            <w:r>
              <w:rPr>
                <w:sz w:val="24"/>
              </w:rPr>
              <w:t>Ability to nurture high performance in oneself and colleagues in response to</w:t>
            </w:r>
          </w:p>
          <w:p w14:paraId="7ED58657" w14:textId="77777777" w:rsidR="00595901" w:rsidRDefault="002A7AA5">
            <w:pPr>
              <w:pStyle w:val="TableParagraph"/>
              <w:spacing w:line="273" w:lineRule="exact"/>
              <w:rPr>
                <w:sz w:val="24"/>
              </w:rPr>
            </w:pPr>
            <w:r>
              <w:rPr>
                <w:sz w:val="24"/>
              </w:rPr>
              <w:t>ambitious objectives and targets</w:t>
            </w:r>
          </w:p>
        </w:tc>
        <w:tc>
          <w:tcPr>
            <w:tcW w:w="1135" w:type="dxa"/>
          </w:tcPr>
          <w:p w14:paraId="608FC3A5" w14:textId="77777777" w:rsidR="00595901" w:rsidRDefault="002A7AA5">
            <w:pPr>
              <w:pStyle w:val="TableParagraph"/>
              <w:spacing w:line="291" w:lineRule="exact"/>
              <w:rPr>
                <w:sz w:val="24"/>
              </w:rPr>
            </w:pPr>
            <w:r>
              <w:rPr>
                <w:sz w:val="24"/>
              </w:rPr>
              <w:t>X</w:t>
            </w:r>
          </w:p>
          <w:p w14:paraId="06517D84" w14:textId="77777777" w:rsidR="00595901" w:rsidRDefault="00595901">
            <w:pPr>
              <w:pStyle w:val="TableParagraph"/>
              <w:ind w:left="0"/>
              <w:rPr>
                <w:b/>
                <w:sz w:val="24"/>
              </w:rPr>
            </w:pPr>
          </w:p>
          <w:p w14:paraId="7F48EBFE" w14:textId="77777777" w:rsidR="00595901" w:rsidRDefault="00595901">
            <w:pPr>
              <w:pStyle w:val="TableParagraph"/>
              <w:ind w:left="0"/>
              <w:rPr>
                <w:b/>
                <w:sz w:val="24"/>
              </w:rPr>
            </w:pPr>
          </w:p>
          <w:p w14:paraId="2B927493" w14:textId="77777777" w:rsidR="00595901" w:rsidRDefault="00595901">
            <w:pPr>
              <w:pStyle w:val="TableParagraph"/>
              <w:spacing w:before="11"/>
              <w:ind w:left="0"/>
              <w:rPr>
                <w:b/>
                <w:sz w:val="23"/>
              </w:rPr>
            </w:pPr>
          </w:p>
          <w:p w14:paraId="2C8EE446" w14:textId="77777777" w:rsidR="00595901" w:rsidRDefault="002A7AA5">
            <w:pPr>
              <w:pStyle w:val="TableParagraph"/>
              <w:rPr>
                <w:sz w:val="24"/>
              </w:rPr>
            </w:pPr>
            <w:r>
              <w:rPr>
                <w:sz w:val="24"/>
              </w:rPr>
              <w:t>X</w:t>
            </w:r>
          </w:p>
        </w:tc>
        <w:tc>
          <w:tcPr>
            <w:tcW w:w="1224" w:type="dxa"/>
          </w:tcPr>
          <w:p w14:paraId="00D8261A" w14:textId="77777777" w:rsidR="00595901" w:rsidRDefault="00595901">
            <w:pPr>
              <w:pStyle w:val="TableParagraph"/>
              <w:ind w:left="0"/>
              <w:rPr>
                <w:rFonts w:ascii="Times New Roman"/>
                <w:sz w:val="24"/>
              </w:rPr>
            </w:pPr>
          </w:p>
        </w:tc>
      </w:tr>
      <w:tr w:rsidR="00595901" w14:paraId="54AA1414" w14:textId="77777777">
        <w:trPr>
          <w:trHeight w:val="585"/>
        </w:trPr>
        <w:tc>
          <w:tcPr>
            <w:tcW w:w="2254" w:type="dxa"/>
          </w:tcPr>
          <w:p w14:paraId="0000EC99" w14:textId="77777777" w:rsidR="00595901" w:rsidRDefault="002A7AA5">
            <w:pPr>
              <w:pStyle w:val="TableParagraph"/>
              <w:spacing w:line="292" w:lineRule="exact"/>
              <w:rPr>
                <w:sz w:val="24"/>
              </w:rPr>
            </w:pPr>
            <w:r>
              <w:rPr>
                <w:sz w:val="24"/>
              </w:rPr>
              <w:t>Other</w:t>
            </w:r>
          </w:p>
        </w:tc>
        <w:tc>
          <w:tcPr>
            <w:tcW w:w="4404" w:type="dxa"/>
          </w:tcPr>
          <w:p w14:paraId="3E81697F" w14:textId="77777777" w:rsidR="00595901" w:rsidRDefault="002A7AA5">
            <w:pPr>
              <w:pStyle w:val="TableParagraph"/>
              <w:spacing w:line="292" w:lineRule="exact"/>
              <w:rPr>
                <w:sz w:val="24"/>
              </w:rPr>
            </w:pPr>
            <w:r>
              <w:rPr>
                <w:sz w:val="24"/>
              </w:rPr>
              <w:t>A satisfactory PVG check (post offer of</w:t>
            </w:r>
          </w:p>
          <w:p w14:paraId="05B904A9" w14:textId="77777777" w:rsidR="00595901" w:rsidRDefault="002A7AA5">
            <w:pPr>
              <w:pStyle w:val="TableParagraph"/>
              <w:spacing w:line="273" w:lineRule="exact"/>
              <w:rPr>
                <w:sz w:val="24"/>
              </w:rPr>
            </w:pPr>
            <w:r>
              <w:rPr>
                <w:sz w:val="24"/>
              </w:rPr>
              <w:t>employment)</w:t>
            </w:r>
          </w:p>
        </w:tc>
        <w:tc>
          <w:tcPr>
            <w:tcW w:w="1135" w:type="dxa"/>
          </w:tcPr>
          <w:p w14:paraId="25F4684A" w14:textId="77777777" w:rsidR="00595901" w:rsidRDefault="002A7AA5">
            <w:pPr>
              <w:pStyle w:val="TableParagraph"/>
              <w:spacing w:line="292" w:lineRule="exact"/>
              <w:rPr>
                <w:sz w:val="24"/>
              </w:rPr>
            </w:pPr>
            <w:r>
              <w:rPr>
                <w:sz w:val="24"/>
              </w:rPr>
              <w:t>X</w:t>
            </w:r>
          </w:p>
        </w:tc>
        <w:tc>
          <w:tcPr>
            <w:tcW w:w="1224" w:type="dxa"/>
          </w:tcPr>
          <w:p w14:paraId="2C51AEC2" w14:textId="77777777" w:rsidR="00595901" w:rsidRDefault="00595901">
            <w:pPr>
              <w:pStyle w:val="TableParagraph"/>
              <w:ind w:left="0"/>
              <w:rPr>
                <w:rFonts w:ascii="Times New Roman"/>
                <w:sz w:val="24"/>
              </w:rPr>
            </w:pPr>
          </w:p>
        </w:tc>
      </w:tr>
    </w:tbl>
    <w:p w14:paraId="1BD127AC" w14:textId="77777777" w:rsidR="002A7AA5" w:rsidRDefault="002A7AA5"/>
    <w:sectPr w:rsidR="002A7AA5">
      <w:pgSz w:w="11910" w:h="16840"/>
      <w:pgMar w:top="142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rlito">
    <w:altName w:val="Calibri"/>
    <w:charset w:val="00"/>
    <w:family w:val="swiss"/>
    <w:pitch w:val="variable"/>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4584113"/>
    <w:multiLevelType w:val="hybridMultilevel"/>
    <w:tmpl w:val="758CFEFC"/>
    <w:lvl w:ilvl="0" w:tplc="B2A88E9C">
      <w:numFmt w:val="bullet"/>
      <w:lvlText w:val="•"/>
      <w:lvlJc w:val="left"/>
      <w:pPr>
        <w:ind w:left="840" w:hanging="720"/>
      </w:pPr>
      <w:rPr>
        <w:rFonts w:ascii="Carlito" w:eastAsia="Carlito" w:hAnsi="Carlito" w:cs="Carlito" w:hint="default"/>
        <w:spacing w:val="-3"/>
        <w:w w:val="100"/>
        <w:sz w:val="24"/>
        <w:szCs w:val="24"/>
        <w:lang w:val="en-US" w:eastAsia="en-US" w:bidi="ar-SA"/>
      </w:rPr>
    </w:lvl>
    <w:lvl w:ilvl="1" w:tplc="88B02DF8">
      <w:numFmt w:val="bullet"/>
      <w:lvlText w:val=""/>
      <w:lvlJc w:val="left"/>
      <w:pPr>
        <w:ind w:left="1560" w:hanging="360"/>
      </w:pPr>
      <w:rPr>
        <w:rFonts w:ascii="Symbol" w:eastAsia="Symbol" w:hAnsi="Symbol" w:cs="Symbol" w:hint="default"/>
        <w:w w:val="100"/>
        <w:sz w:val="24"/>
        <w:szCs w:val="24"/>
        <w:lang w:val="en-US" w:eastAsia="en-US" w:bidi="ar-SA"/>
      </w:rPr>
    </w:lvl>
    <w:lvl w:ilvl="2" w:tplc="F874467C">
      <w:numFmt w:val="bullet"/>
      <w:lvlText w:val="•"/>
      <w:lvlJc w:val="left"/>
      <w:pPr>
        <w:ind w:left="2416" w:hanging="360"/>
      </w:pPr>
      <w:rPr>
        <w:rFonts w:hint="default"/>
        <w:lang w:val="en-US" w:eastAsia="en-US" w:bidi="ar-SA"/>
      </w:rPr>
    </w:lvl>
    <w:lvl w:ilvl="3" w:tplc="970AFAFC">
      <w:numFmt w:val="bullet"/>
      <w:lvlText w:val="•"/>
      <w:lvlJc w:val="left"/>
      <w:pPr>
        <w:ind w:left="3272" w:hanging="360"/>
      </w:pPr>
      <w:rPr>
        <w:rFonts w:hint="default"/>
        <w:lang w:val="en-US" w:eastAsia="en-US" w:bidi="ar-SA"/>
      </w:rPr>
    </w:lvl>
    <w:lvl w:ilvl="4" w:tplc="288CE7E2">
      <w:numFmt w:val="bullet"/>
      <w:lvlText w:val="•"/>
      <w:lvlJc w:val="left"/>
      <w:pPr>
        <w:ind w:left="4128" w:hanging="360"/>
      </w:pPr>
      <w:rPr>
        <w:rFonts w:hint="default"/>
        <w:lang w:val="en-US" w:eastAsia="en-US" w:bidi="ar-SA"/>
      </w:rPr>
    </w:lvl>
    <w:lvl w:ilvl="5" w:tplc="72104EE0">
      <w:numFmt w:val="bullet"/>
      <w:lvlText w:val="•"/>
      <w:lvlJc w:val="left"/>
      <w:pPr>
        <w:ind w:left="4985" w:hanging="360"/>
      </w:pPr>
      <w:rPr>
        <w:rFonts w:hint="default"/>
        <w:lang w:val="en-US" w:eastAsia="en-US" w:bidi="ar-SA"/>
      </w:rPr>
    </w:lvl>
    <w:lvl w:ilvl="6" w:tplc="7E6460F2">
      <w:numFmt w:val="bullet"/>
      <w:lvlText w:val="•"/>
      <w:lvlJc w:val="left"/>
      <w:pPr>
        <w:ind w:left="5841" w:hanging="360"/>
      </w:pPr>
      <w:rPr>
        <w:rFonts w:hint="default"/>
        <w:lang w:val="en-US" w:eastAsia="en-US" w:bidi="ar-SA"/>
      </w:rPr>
    </w:lvl>
    <w:lvl w:ilvl="7" w:tplc="A030F462">
      <w:numFmt w:val="bullet"/>
      <w:lvlText w:val="•"/>
      <w:lvlJc w:val="left"/>
      <w:pPr>
        <w:ind w:left="6697" w:hanging="360"/>
      </w:pPr>
      <w:rPr>
        <w:rFonts w:hint="default"/>
        <w:lang w:val="en-US" w:eastAsia="en-US" w:bidi="ar-SA"/>
      </w:rPr>
    </w:lvl>
    <w:lvl w:ilvl="8" w:tplc="083C5192">
      <w:numFmt w:val="bullet"/>
      <w:lvlText w:val="•"/>
      <w:lvlJc w:val="left"/>
      <w:pPr>
        <w:ind w:left="7553" w:hanging="36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595901"/>
    <w:rsid w:val="001F2F64"/>
    <w:rsid w:val="002A7AA5"/>
    <w:rsid w:val="003134BA"/>
    <w:rsid w:val="00595901"/>
    <w:rsid w:val="00DA0114"/>
    <w:rsid w:val="00FB3BD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59A5A9"/>
  <w15:docId w15:val="{A3F2A326-9C80-4CEA-B797-D03D96557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rlito" w:eastAsia="Carlito" w:hAnsi="Carlito" w:cs="Carlito"/>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560"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1011</Words>
  <Characters>5769</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Shield</dc:creator>
  <cp:lastModifiedBy>Eilish McDowell</cp:lastModifiedBy>
  <cp:revision>2</cp:revision>
  <dcterms:created xsi:type="dcterms:W3CDTF">2022-02-07T14:09:00Z</dcterms:created>
  <dcterms:modified xsi:type="dcterms:W3CDTF">2022-02-07T14:09:00Z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2021-12-22T00:00:00Z</vt:filetime>
  </property>
  <property fmtid="{D5CDD505-2E9C-101B-9397-08002B2CF9AE}" pid="3" name="Creator">
    <vt:lpwstr>Acrobat PDFMaker 20 for Word</vt:lpwstr>
  </property>
  <property fmtid="{D5CDD505-2E9C-101B-9397-08002B2CF9AE}" pid="4" name="LastSaved">
    <vt:filetime>2022-02-07T00:00:00Z</vt:filetime>
  </property>
</Properties>
</file>